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EC0B" w14:textId="4ED631D1" w:rsidR="00F84648" w:rsidRPr="00177B8C" w:rsidRDefault="006955EC" w:rsidP="006955EC">
      <w:pPr>
        <w:jc w:val="center"/>
        <w:rPr>
          <w:rFonts w:ascii="Lato" w:hAnsi="Lato"/>
          <w:b/>
          <w:sz w:val="10"/>
          <w:szCs w:val="16"/>
        </w:rPr>
      </w:pPr>
      <w:r w:rsidRPr="006955EC">
        <w:rPr>
          <w:rFonts w:ascii="Lato" w:hAnsi="Lato"/>
          <w:b/>
          <w:sz w:val="36"/>
          <w:szCs w:val="28"/>
        </w:rPr>
        <w:t>Alternative to Suspension Programs for Youth E-Cigarette Use</w:t>
      </w:r>
      <w:r w:rsidR="00323FD0">
        <w:rPr>
          <w:rFonts w:ascii="Lato" w:hAnsi="Lato"/>
          <w:b/>
          <w:sz w:val="36"/>
          <w:szCs w:val="28"/>
        </w:rPr>
        <w:br/>
      </w:r>
    </w:p>
    <w:p w14:paraId="0A9BDC3D" w14:textId="4A94D2DF" w:rsidR="00323FD0" w:rsidRDefault="00323FD0" w:rsidP="00323FD0">
      <w:pPr>
        <w:rPr>
          <w:rFonts w:ascii="Lato" w:hAnsi="Lato"/>
          <w:iCs/>
        </w:rPr>
      </w:pPr>
      <w:r w:rsidRPr="00BB2DA5">
        <w:rPr>
          <w:rFonts w:ascii="Lato" w:hAnsi="Lato"/>
          <w:iCs/>
        </w:rPr>
        <w:t xml:space="preserve">Using punitive measures like suspension and expulsion to penalize student violations of a school tobacco policy are not always effective. Effective school policies address the underlying addiction to </w:t>
      </w:r>
      <w:r w:rsidR="00BB2DA5" w:rsidRPr="00BB2DA5">
        <w:rPr>
          <w:rFonts w:ascii="Lato" w:hAnsi="Lato"/>
          <w:iCs/>
        </w:rPr>
        <w:t>nicotine</w:t>
      </w:r>
      <w:r w:rsidRPr="00BB2DA5">
        <w:rPr>
          <w:rFonts w:ascii="Lato" w:hAnsi="Lato"/>
          <w:iCs/>
        </w:rPr>
        <w:t xml:space="preserve"> instead of purely punitive measures, which do not deter continued use and may exacerbate the problem</w:t>
      </w:r>
      <w:r w:rsidR="00CB5CA8">
        <w:rPr>
          <w:rFonts w:ascii="Lato" w:hAnsi="Lato"/>
          <w:iCs/>
        </w:rPr>
        <w:t>.</w:t>
      </w:r>
      <w:r w:rsidRPr="00BB2DA5">
        <w:rPr>
          <w:rFonts w:ascii="Lato" w:hAnsi="Lato"/>
          <w:iCs/>
        </w:rPr>
        <w:t xml:space="preserve"> While schools have an interest in prohibiting behavior that is disruptive and harmful to health, schools may consider weighing the severity of the </w:t>
      </w:r>
      <w:r w:rsidR="00CB5CA8">
        <w:rPr>
          <w:rFonts w:ascii="Lato" w:hAnsi="Lato"/>
          <w:iCs/>
        </w:rPr>
        <w:t>violation</w:t>
      </w:r>
      <w:r w:rsidRPr="00BB2DA5">
        <w:rPr>
          <w:rFonts w:ascii="Lato" w:hAnsi="Lato"/>
          <w:iCs/>
        </w:rPr>
        <w:t xml:space="preserve"> with the consequences and effectiveness of the punishment. As such, schools seeking to avoid punitive measures in their tobacco-free policy may consider the following</w:t>
      </w:r>
      <w:r w:rsidR="00FB198E">
        <w:rPr>
          <w:rFonts w:ascii="Lato" w:hAnsi="Lato"/>
          <w:iCs/>
        </w:rPr>
        <w:t xml:space="preserve">, non-exhaustive list of </w:t>
      </w:r>
      <w:r w:rsidRPr="00BB2DA5">
        <w:rPr>
          <w:rFonts w:ascii="Lato" w:hAnsi="Lato"/>
          <w:iCs/>
        </w:rPr>
        <w:t>alternative to suspension programs:</w:t>
      </w:r>
    </w:p>
    <w:tbl>
      <w:tblPr>
        <w:tblStyle w:val="TableGrid"/>
        <w:tblpPr w:leftFromText="180" w:rightFromText="180" w:vertAnchor="page" w:horzAnchor="margin" w:tblpY="2555"/>
        <w:tblW w:w="14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90"/>
        <w:gridCol w:w="1440"/>
        <w:gridCol w:w="2250"/>
        <w:gridCol w:w="1710"/>
        <w:gridCol w:w="1620"/>
        <w:gridCol w:w="1781"/>
        <w:gridCol w:w="1800"/>
      </w:tblGrid>
      <w:tr w:rsidR="00177B8C" w:rsidRPr="00BB2DA5" w14:paraId="0DF94714" w14:textId="77777777" w:rsidTr="00177B8C">
        <w:tc>
          <w:tcPr>
            <w:tcW w:w="18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DD5B2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FFD44B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Organization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02042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Cost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6243BD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Age Group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CD999B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Format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8A9C7C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Setting</w:t>
            </w:r>
          </w:p>
        </w:tc>
        <w:tc>
          <w:tcPr>
            <w:tcW w:w="178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A21E55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Facilitator Training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28230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Program Duration</w:t>
            </w:r>
          </w:p>
        </w:tc>
      </w:tr>
      <w:tr w:rsidR="00177B8C" w:rsidRPr="00BB2DA5" w14:paraId="1CDF7BD5" w14:textId="77777777" w:rsidTr="00177B8C">
        <w:trPr>
          <w:trHeight w:val="960"/>
        </w:trPr>
        <w:tc>
          <w:tcPr>
            <w:tcW w:w="1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28835D" w14:textId="796B9E27" w:rsidR="00177B8C" w:rsidRPr="00BB2DA5" w:rsidRDefault="00E80520" w:rsidP="00177B8C">
            <w:pPr>
              <w:rPr>
                <w:rFonts w:ascii="Lato" w:hAnsi="Lato"/>
                <w:sz w:val="24"/>
                <w:szCs w:val="26"/>
              </w:rPr>
            </w:pPr>
            <w:hyperlink r:id="rId8" w:history="1">
              <w:r w:rsidR="00177B8C" w:rsidRPr="00BB2DA5">
                <w:rPr>
                  <w:rStyle w:val="Hyperlink"/>
                  <w:rFonts w:ascii="Lato" w:hAnsi="Lato"/>
                  <w:sz w:val="24"/>
                  <w:szCs w:val="26"/>
                </w:rPr>
                <w:t>INDEPTH</w:t>
              </w:r>
            </w:hyperlink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4449FF" w14:textId="77777777" w:rsidR="00177B8C" w:rsidRPr="00BB2DA5" w:rsidRDefault="00177B8C" w:rsidP="00177B8C">
            <w:pPr>
              <w:tabs>
                <w:tab w:val="left" w:pos="1065"/>
              </w:tabs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American Lung Association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16D792D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14:paraId="67299F84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42D9817D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Adult-led program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2D497FE3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Group </w:t>
            </w:r>
            <w:r w:rsidRPr="00BB2DA5">
              <w:rPr>
                <w:rFonts w:ascii="Lato" w:hAnsi="Lato"/>
                <w:i/>
                <w:sz w:val="24"/>
              </w:rPr>
              <w:t>or</w:t>
            </w:r>
            <w:r w:rsidRPr="00BB2DA5">
              <w:rPr>
                <w:rFonts w:ascii="Lato" w:hAnsi="Lato"/>
                <w:sz w:val="24"/>
              </w:rPr>
              <w:t xml:space="preserve"> </w:t>
            </w:r>
            <w:r w:rsidRPr="00BB2DA5">
              <w:rPr>
                <w:rFonts w:ascii="Lato" w:hAnsi="Lato"/>
                <w:sz w:val="24"/>
              </w:rPr>
              <w:br/>
              <w:t>one-on-one</w:t>
            </w:r>
          </w:p>
        </w:tc>
        <w:tc>
          <w:tcPr>
            <w:tcW w:w="1781" w:type="dxa"/>
            <w:tcBorders>
              <w:top w:val="single" w:sz="18" w:space="0" w:color="auto"/>
            </w:tcBorders>
            <w:vAlign w:val="center"/>
          </w:tcPr>
          <w:p w14:paraId="77BBFB62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</w:t>
            </w:r>
            <w:r w:rsidRPr="00BB2DA5">
              <w:rPr>
                <w:rFonts w:ascii="Lato" w:hAnsi="Lato"/>
                <w:sz w:val="24"/>
              </w:rPr>
              <w:t>nline training,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60</w:t>
            </w:r>
            <w:r w:rsidRPr="00BB2DA5">
              <w:rPr>
                <w:rFonts w:ascii="Lato" w:hAnsi="Lato"/>
                <w:sz w:val="24"/>
              </w:rPr>
              <w:t xml:space="preserve"> minutes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01A7C93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4 sessions, </w:t>
            </w:r>
            <w:r w:rsidRPr="00BB2DA5">
              <w:rPr>
                <w:rFonts w:ascii="Lato" w:hAnsi="Lato"/>
                <w:sz w:val="24"/>
              </w:rPr>
              <w:br/>
              <w:t>50 minutes each</w:t>
            </w:r>
          </w:p>
        </w:tc>
      </w:tr>
      <w:tr w:rsidR="00177B8C" w:rsidRPr="00BB2DA5" w14:paraId="78D371CE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449E51FA" w14:textId="0EE6D1B4" w:rsidR="00177B8C" w:rsidRDefault="00E80520" w:rsidP="00177B8C">
            <w:hyperlink r:id="rId9" w:history="1">
              <w:r w:rsidR="00177B8C" w:rsidRPr="005509AD">
                <w:rPr>
                  <w:rStyle w:val="Hyperlink"/>
                  <w:rFonts w:ascii="Lato" w:hAnsi="Lato"/>
                  <w:sz w:val="24"/>
                  <w:szCs w:val="26"/>
                </w:rPr>
                <w:t>INDEPTH Online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08BBC09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American Lung Association</w:t>
            </w:r>
          </w:p>
        </w:tc>
        <w:tc>
          <w:tcPr>
            <w:tcW w:w="1440" w:type="dxa"/>
            <w:vAlign w:val="center"/>
          </w:tcPr>
          <w:p w14:paraId="25D958F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1E38022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65B88CD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Online course</w:t>
            </w:r>
          </w:p>
        </w:tc>
        <w:tc>
          <w:tcPr>
            <w:tcW w:w="1620" w:type="dxa"/>
            <w:vAlign w:val="center"/>
          </w:tcPr>
          <w:p w14:paraId="740087D8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</w:p>
        </w:tc>
        <w:tc>
          <w:tcPr>
            <w:tcW w:w="1781" w:type="dxa"/>
            <w:vAlign w:val="center"/>
          </w:tcPr>
          <w:p w14:paraId="536864F3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</w:t>
            </w:r>
            <w:r w:rsidRPr="00BB2DA5">
              <w:rPr>
                <w:rFonts w:ascii="Lato" w:hAnsi="Lato"/>
                <w:sz w:val="24"/>
              </w:rPr>
              <w:t>nline training,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60</w:t>
            </w:r>
            <w:r w:rsidRPr="00BB2DA5">
              <w:rPr>
                <w:rFonts w:ascii="Lato" w:hAnsi="Lato"/>
                <w:sz w:val="24"/>
              </w:rPr>
              <w:t xml:space="preserve"> minutes</w:t>
            </w:r>
          </w:p>
        </w:tc>
        <w:tc>
          <w:tcPr>
            <w:tcW w:w="1800" w:type="dxa"/>
            <w:vAlign w:val="center"/>
          </w:tcPr>
          <w:p w14:paraId="66F5A54D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4 </w:t>
            </w:r>
            <w:r>
              <w:rPr>
                <w:rFonts w:ascii="Lato" w:hAnsi="Lato"/>
                <w:sz w:val="24"/>
              </w:rPr>
              <w:t>modules</w:t>
            </w:r>
            <w:r w:rsidRPr="00BB2DA5">
              <w:rPr>
                <w:rFonts w:ascii="Lato" w:hAnsi="Lato"/>
                <w:sz w:val="24"/>
              </w:rPr>
              <w:t xml:space="preserve">, 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2 hours total</w:t>
            </w:r>
          </w:p>
        </w:tc>
      </w:tr>
      <w:tr w:rsidR="00D57545" w:rsidRPr="00BB2DA5" w14:paraId="33B53A3B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62C1EF2F" w14:textId="73E572AB" w:rsidR="00D57545" w:rsidRPr="00BB2DA5" w:rsidRDefault="00E80520" w:rsidP="00D57545">
            <w:pPr>
              <w:rPr>
                <w:rFonts w:ascii="Lato" w:hAnsi="Lato"/>
                <w:sz w:val="24"/>
                <w:szCs w:val="26"/>
              </w:rPr>
            </w:pPr>
            <w:hyperlink r:id="rId10" w:history="1">
              <w:r w:rsidR="00D57545" w:rsidRPr="00F91001">
                <w:rPr>
                  <w:rStyle w:val="Hyperlink"/>
                  <w:rFonts w:ascii="Lato" w:hAnsi="Lato"/>
                  <w:sz w:val="24"/>
                  <w:szCs w:val="26"/>
                </w:rPr>
                <w:t>MY Healthy Futures Online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4501C7F3" w14:textId="0288EC6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Stanford University</w:t>
            </w:r>
          </w:p>
        </w:tc>
        <w:tc>
          <w:tcPr>
            <w:tcW w:w="1440" w:type="dxa"/>
            <w:vAlign w:val="center"/>
          </w:tcPr>
          <w:p w14:paraId="70608200" w14:textId="59E1A81F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41683A34" w14:textId="40FB8767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568DAEA3" w14:textId="0C86589B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Online course followed by adult/youth interaction</w:t>
            </w:r>
          </w:p>
        </w:tc>
        <w:tc>
          <w:tcPr>
            <w:tcW w:w="1620" w:type="dxa"/>
            <w:vAlign w:val="center"/>
          </w:tcPr>
          <w:p w14:paraId="14718393" w14:textId="1901F22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  <w:r>
              <w:rPr>
                <w:rFonts w:ascii="Lato" w:hAnsi="Lato"/>
                <w:sz w:val="24"/>
              </w:rPr>
              <w:t xml:space="preserve"> and one-on-one or group</w:t>
            </w:r>
          </w:p>
        </w:tc>
        <w:tc>
          <w:tcPr>
            <w:tcW w:w="1781" w:type="dxa"/>
            <w:vAlign w:val="center"/>
          </w:tcPr>
          <w:p w14:paraId="7AB36C59" w14:textId="77777777" w:rsidR="00D5754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Live, facilitated training</w:t>
            </w:r>
          </w:p>
          <w:p w14:paraId="39A30F5B" w14:textId="50509CA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60 minutes</w:t>
            </w:r>
          </w:p>
        </w:tc>
        <w:tc>
          <w:tcPr>
            <w:tcW w:w="1800" w:type="dxa"/>
            <w:vAlign w:val="center"/>
          </w:tcPr>
          <w:p w14:paraId="3F90DE84" w14:textId="3F967222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40-60 minutes</w:t>
            </w:r>
          </w:p>
        </w:tc>
      </w:tr>
      <w:tr w:rsidR="00D57545" w:rsidRPr="00BB2DA5" w14:paraId="31FE575B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4A87BFD3" w14:textId="5AAC6941" w:rsidR="00D57545" w:rsidRDefault="00E80520" w:rsidP="00D57545">
            <w:hyperlink r:id="rId11" w:anchor="nicotine_101" w:history="1">
              <w:r w:rsidR="00D57545" w:rsidRPr="00BB2DA5">
                <w:rPr>
                  <w:rStyle w:val="Hyperlink"/>
                  <w:rFonts w:ascii="Lato" w:hAnsi="Lato"/>
                  <w:sz w:val="24"/>
                  <w:szCs w:val="26"/>
                </w:rPr>
                <w:t>Nicotine 101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54D6EC0D" w14:textId="3EBF39AF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3</w:t>
            </w:r>
            <w:r w:rsidRPr="00BB2DA5">
              <w:rPr>
                <w:rFonts w:ascii="Lato" w:hAnsi="Lato"/>
                <w:sz w:val="24"/>
                <w:vertAlign w:val="superscript"/>
              </w:rPr>
              <w:t>rd</w:t>
            </w:r>
            <w:r w:rsidRPr="00BB2DA5">
              <w:rPr>
                <w:rFonts w:ascii="Lato" w:hAnsi="Lato"/>
                <w:sz w:val="24"/>
              </w:rPr>
              <w:t xml:space="preserve"> Millennium Classrooms</w:t>
            </w:r>
          </w:p>
        </w:tc>
        <w:tc>
          <w:tcPr>
            <w:tcW w:w="1440" w:type="dxa"/>
            <w:vAlign w:val="center"/>
          </w:tcPr>
          <w:p w14:paraId="542A85DD" w14:textId="4914B8FA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Cost per student</w:t>
            </w:r>
          </w:p>
        </w:tc>
        <w:tc>
          <w:tcPr>
            <w:tcW w:w="2250" w:type="dxa"/>
            <w:vAlign w:val="center"/>
          </w:tcPr>
          <w:p w14:paraId="7E5E52A3" w14:textId="3B0936D2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High school and college</w:t>
            </w:r>
          </w:p>
        </w:tc>
        <w:tc>
          <w:tcPr>
            <w:tcW w:w="1710" w:type="dxa"/>
            <w:vAlign w:val="center"/>
          </w:tcPr>
          <w:p w14:paraId="039531E0" w14:textId="6B88F49F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Online course</w:t>
            </w:r>
          </w:p>
        </w:tc>
        <w:tc>
          <w:tcPr>
            <w:tcW w:w="1620" w:type="dxa"/>
            <w:vAlign w:val="center"/>
          </w:tcPr>
          <w:p w14:paraId="0DA71F31" w14:textId="001D6BE8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</w:p>
        </w:tc>
        <w:tc>
          <w:tcPr>
            <w:tcW w:w="1781" w:type="dxa"/>
            <w:vAlign w:val="center"/>
          </w:tcPr>
          <w:p w14:paraId="26CB2394" w14:textId="03C14561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None</w:t>
            </w:r>
          </w:p>
        </w:tc>
        <w:tc>
          <w:tcPr>
            <w:tcW w:w="1800" w:type="dxa"/>
            <w:vAlign w:val="center"/>
          </w:tcPr>
          <w:p w14:paraId="5A20A8F3" w14:textId="288F4028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1 hour</w:t>
            </w:r>
          </w:p>
        </w:tc>
      </w:tr>
      <w:tr w:rsidR="00D57545" w:rsidRPr="00BB2DA5" w14:paraId="210F1EA3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056A192D" w14:textId="72CDB054" w:rsidR="00D57545" w:rsidRPr="00BB2DA5" w:rsidRDefault="00E80520" w:rsidP="00D57545">
            <w:pPr>
              <w:rPr>
                <w:rFonts w:ascii="Lato" w:hAnsi="Lato"/>
                <w:sz w:val="24"/>
                <w:szCs w:val="26"/>
              </w:rPr>
            </w:pPr>
            <w:hyperlink r:id="rId12" w:history="1">
              <w:r w:rsidR="00D57545">
                <w:rPr>
                  <w:rStyle w:val="Hyperlink"/>
                  <w:rFonts w:ascii="Lato" w:hAnsi="Lato"/>
                  <w:sz w:val="24"/>
                  <w:szCs w:val="26"/>
                </w:rPr>
                <w:t>OUR</w:t>
              </w:r>
              <w:r w:rsidR="00D57545" w:rsidRPr="007F1DEE">
                <w:rPr>
                  <w:rStyle w:val="Hyperlink"/>
                  <w:rFonts w:ascii="Lato" w:hAnsi="Lato"/>
                  <w:sz w:val="24"/>
                  <w:szCs w:val="26"/>
                </w:rPr>
                <w:t xml:space="preserve"> Healthy Futures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52548207" w14:textId="5E13564F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Stanford University</w:t>
            </w:r>
          </w:p>
        </w:tc>
        <w:tc>
          <w:tcPr>
            <w:tcW w:w="1440" w:type="dxa"/>
            <w:vAlign w:val="center"/>
          </w:tcPr>
          <w:p w14:paraId="0F0D269B" w14:textId="26E31068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068EB68B" w14:textId="6FF93B59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2BFDA8BF" w14:textId="4766AFCE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Adult-led program</w:t>
            </w:r>
          </w:p>
        </w:tc>
        <w:tc>
          <w:tcPr>
            <w:tcW w:w="1620" w:type="dxa"/>
            <w:vAlign w:val="center"/>
          </w:tcPr>
          <w:p w14:paraId="3D3F6E58" w14:textId="49735005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Group </w:t>
            </w:r>
            <w:r w:rsidRPr="00BB2DA5">
              <w:rPr>
                <w:rFonts w:ascii="Lato" w:hAnsi="Lato"/>
                <w:i/>
                <w:sz w:val="24"/>
              </w:rPr>
              <w:t>or</w:t>
            </w:r>
            <w:r w:rsidRPr="00BB2DA5">
              <w:rPr>
                <w:rFonts w:ascii="Lato" w:hAnsi="Lato"/>
                <w:sz w:val="24"/>
              </w:rPr>
              <w:t xml:space="preserve"> </w:t>
            </w:r>
            <w:r w:rsidRPr="00BB2DA5">
              <w:rPr>
                <w:rFonts w:ascii="Lato" w:hAnsi="Lato"/>
                <w:sz w:val="24"/>
              </w:rPr>
              <w:br/>
              <w:t>one-on-one</w:t>
            </w:r>
          </w:p>
        </w:tc>
        <w:tc>
          <w:tcPr>
            <w:tcW w:w="1781" w:type="dxa"/>
            <w:vAlign w:val="center"/>
          </w:tcPr>
          <w:p w14:paraId="67D1B604" w14:textId="77777777" w:rsidR="00D5754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Live, facilitated training</w:t>
            </w:r>
          </w:p>
          <w:p w14:paraId="45790055" w14:textId="7340AE5D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60 minutes</w:t>
            </w:r>
          </w:p>
        </w:tc>
        <w:tc>
          <w:tcPr>
            <w:tcW w:w="1800" w:type="dxa"/>
            <w:vAlign w:val="center"/>
          </w:tcPr>
          <w:p w14:paraId="4E0E98F7" w14:textId="136E09BE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2 and 4 </w:t>
            </w:r>
            <w:r w:rsidRPr="00BB2DA5">
              <w:rPr>
                <w:rFonts w:ascii="Lato" w:hAnsi="Lato"/>
                <w:sz w:val="24"/>
              </w:rPr>
              <w:t xml:space="preserve">hour </w:t>
            </w:r>
            <w:r>
              <w:rPr>
                <w:rFonts w:ascii="Lato" w:hAnsi="Lato"/>
                <w:sz w:val="24"/>
              </w:rPr>
              <w:t>options</w:t>
            </w:r>
          </w:p>
        </w:tc>
      </w:tr>
    </w:tbl>
    <w:p w14:paraId="06ABB89B" w14:textId="77777777" w:rsidR="00EE3F50" w:rsidRPr="00BB2DA5" w:rsidRDefault="00EE3F50" w:rsidP="00323FD0">
      <w:pPr>
        <w:rPr>
          <w:rFonts w:ascii="Lato" w:hAnsi="Lato"/>
          <w:b/>
          <w:sz w:val="12"/>
          <w:szCs w:val="28"/>
        </w:rPr>
      </w:pPr>
    </w:p>
    <w:p w14:paraId="6DF9CCEF" w14:textId="1E4F5327" w:rsidR="00BB2DA5" w:rsidRPr="00FB198E" w:rsidRDefault="00FB198E" w:rsidP="00FB198E">
      <w:pPr>
        <w:jc w:val="center"/>
        <w:rPr>
          <w:rFonts w:ascii="Lato" w:hAnsi="Lato"/>
          <w:i/>
          <w:sz w:val="26"/>
          <w:szCs w:val="28"/>
        </w:rPr>
      </w:pPr>
      <w:r>
        <w:rPr>
          <w:rFonts w:ascii="Lato" w:hAnsi="Lato"/>
          <w:i/>
          <w:sz w:val="20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FB198E">
        <w:rPr>
          <w:rFonts w:ascii="Lato" w:hAnsi="Lato"/>
          <w:i/>
          <w:sz w:val="20"/>
          <w:szCs w:val="28"/>
        </w:rPr>
        <w:t xml:space="preserve">The programs listed above are for reference only and are not an official endorsement. </w:t>
      </w:r>
    </w:p>
    <w:p w14:paraId="70BE89F4" w14:textId="011202FF" w:rsidR="00323FD0" w:rsidRPr="00177B8C" w:rsidRDefault="00323FD0" w:rsidP="00323FD0">
      <w:pPr>
        <w:rPr>
          <w:rFonts w:ascii="Lato" w:hAnsi="Lato"/>
          <w:b/>
          <w:sz w:val="24"/>
          <w:szCs w:val="24"/>
        </w:rPr>
      </w:pPr>
      <w:r w:rsidRPr="00177B8C">
        <w:rPr>
          <w:rFonts w:ascii="Lato" w:hAnsi="Lato"/>
          <w:b/>
          <w:sz w:val="24"/>
          <w:szCs w:val="24"/>
        </w:rPr>
        <w:t>Additional Resources:</w:t>
      </w:r>
    </w:p>
    <w:p w14:paraId="71C133E7" w14:textId="310B4F9F" w:rsidR="00CB5CA8" w:rsidRPr="008440C3" w:rsidRDefault="008440C3" w:rsidP="00323FD0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4"/>
        </w:rPr>
      </w:pPr>
      <w:hyperlink r:id="rId13" w:history="1">
        <w:r w:rsidR="00CB5CA8" w:rsidRPr="008440C3">
          <w:rPr>
            <w:rStyle w:val="Hyperlink"/>
            <w:rFonts w:ascii="Lato" w:hAnsi="Lato"/>
            <w:b/>
            <w:sz w:val="20"/>
            <w:szCs w:val="24"/>
          </w:rPr>
          <w:t>A Path Beyond Punishment: Rethinking School Policies on Student Tobacco Use</w:t>
        </w:r>
      </w:hyperlink>
      <w:r w:rsidR="00CB5CA8">
        <w:rPr>
          <w:rFonts w:ascii="Lato" w:hAnsi="Lato"/>
          <w:b/>
          <w:sz w:val="20"/>
          <w:szCs w:val="24"/>
        </w:rPr>
        <w:t xml:space="preserve"> </w:t>
      </w:r>
      <w:r w:rsidR="00CB5CA8" w:rsidRPr="008440C3">
        <w:rPr>
          <w:rFonts w:ascii="Lato" w:hAnsi="Lato"/>
          <w:bCs/>
          <w:sz w:val="20"/>
          <w:szCs w:val="24"/>
        </w:rPr>
        <w:t>(WI Association of School Boards)</w:t>
      </w:r>
      <w:r w:rsidRPr="008440C3">
        <w:rPr>
          <w:rFonts w:ascii="Lato" w:hAnsi="Lato"/>
          <w:bCs/>
          <w:sz w:val="20"/>
          <w:szCs w:val="24"/>
        </w:rPr>
        <w:t xml:space="preserve"> – pp. 16-19</w:t>
      </w:r>
    </w:p>
    <w:p w14:paraId="6D111DA7" w14:textId="77777777" w:rsidR="008440C3" w:rsidRDefault="008440C3" w:rsidP="008440C3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hyperlink r:id="rId14" w:history="1">
        <w:r w:rsidRPr="009C0EC5">
          <w:rPr>
            <w:rStyle w:val="Hyperlink"/>
            <w:rFonts w:ascii="Lato" w:hAnsi="Lato"/>
            <w:b/>
            <w:sz w:val="20"/>
            <w:szCs w:val="24"/>
          </w:rPr>
          <w:t>Tobacco-Free School District: Model Tobacco Policy, Administrative Rules, &amp; Code of Conduct</w:t>
        </w:r>
      </w:hyperlink>
      <w:r>
        <w:rPr>
          <w:rFonts w:ascii="Lato" w:hAnsi="Lato"/>
          <w:b/>
          <w:sz w:val="20"/>
          <w:szCs w:val="24"/>
        </w:rPr>
        <w:t xml:space="preserve"> </w:t>
      </w:r>
      <w:r>
        <w:rPr>
          <w:rFonts w:ascii="Lato" w:hAnsi="Lato"/>
          <w:bCs/>
          <w:sz w:val="20"/>
          <w:szCs w:val="24"/>
        </w:rPr>
        <w:t>(American Heart Association)</w:t>
      </w:r>
    </w:p>
    <w:p w14:paraId="0F57A0E2" w14:textId="219BD182" w:rsidR="00726E8D" w:rsidRPr="00177B8C" w:rsidRDefault="00E80520" w:rsidP="00323FD0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hyperlink r:id="rId15" w:history="1">
        <w:r w:rsidR="00726E8D" w:rsidRPr="00177B8C">
          <w:rPr>
            <w:rStyle w:val="Hyperlink"/>
            <w:rFonts w:ascii="Lato" w:hAnsi="Lato"/>
            <w:b/>
            <w:sz w:val="20"/>
            <w:szCs w:val="24"/>
          </w:rPr>
          <w:t>Schools Supporting Students to Quit Tobacco Use as an Alternative to Suspension: Lessons from the Field</w:t>
        </w:r>
      </w:hyperlink>
      <w:r w:rsidR="00726E8D" w:rsidRPr="00177B8C">
        <w:rPr>
          <w:rFonts w:ascii="Lato" w:hAnsi="Lato"/>
          <w:b/>
          <w:sz w:val="20"/>
          <w:szCs w:val="24"/>
        </w:rPr>
        <w:t xml:space="preserve"> </w:t>
      </w:r>
      <w:r w:rsidR="00726E8D" w:rsidRPr="00177B8C">
        <w:rPr>
          <w:rFonts w:ascii="Lato" w:hAnsi="Lato"/>
          <w:bCs/>
          <w:sz w:val="20"/>
          <w:szCs w:val="24"/>
        </w:rPr>
        <w:t>(</w:t>
      </w:r>
      <w:r w:rsidR="00726E8D" w:rsidRPr="00177B8C">
        <w:rPr>
          <w:rFonts w:ascii="Lato" w:hAnsi="Lato"/>
          <w:bCs/>
          <w:i/>
          <w:iCs/>
          <w:sz w:val="20"/>
          <w:szCs w:val="24"/>
        </w:rPr>
        <w:t>C</w:t>
      </w:r>
      <w:r w:rsidR="009C0EC5">
        <w:rPr>
          <w:rFonts w:ascii="Lato" w:hAnsi="Lato"/>
          <w:bCs/>
          <w:i/>
          <w:iCs/>
          <w:sz w:val="20"/>
          <w:szCs w:val="24"/>
        </w:rPr>
        <w:t xml:space="preserve">enters for </w:t>
      </w:r>
      <w:r w:rsidR="00726E8D" w:rsidRPr="00177B8C">
        <w:rPr>
          <w:rFonts w:ascii="Lato" w:hAnsi="Lato"/>
          <w:bCs/>
          <w:i/>
          <w:iCs/>
          <w:sz w:val="20"/>
          <w:szCs w:val="24"/>
        </w:rPr>
        <w:t>D</w:t>
      </w:r>
      <w:r w:rsidR="009C0EC5">
        <w:rPr>
          <w:rFonts w:ascii="Lato" w:hAnsi="Lato"/>
          <w:bCs/>
          <w:i/>
          <w:iCs/>
          <w:sz w:val="20"/>
          <w:szCs w:val="24"/>
        </w:rPr>
        <w:t xml:space="preserve">isease </w:t>
      </w:r>
      <w:r w:rsidR="00726E8D" w:rsidRPr="00177B8C">
        <w:rPr>
          <w:rFonts w:ascii="Lato" w:hAnsi="Lato"/>
          <w:bCs/>
          <w:i/>
          <w:iCs/>
          <w:sz w:val="20"/>
          <w:szCs w:val="24"/>
        </w:rPr>
        <w:t>C</w:t>
      </w:r>
      <w:r w:rsidR="009C0EC5">
        <w:rPr>
          <w:rFonts w:ascii="Lato" w:hAnsi="Lato"/>
          <w:bCs/>
          <w:i/>
          <w:iCs/>
          <w:sz w:val="20"/>
          <w:szCs w:val="24"/>
        </w:rPr>
        <w:t>ontrol</w:t>
      </w:r>
      <w:r w:rsidR="00726E8D" w:rsidRPr="00177B8C">
        <w:rPr>
          <w:rFonts w:ascii="Lato" w:hAnsi="Lato"/>
          <w:bCs/>
          <w:sz w:val="20"/>
          <w:szCs w:val="24"/>
        </w:rPr>
        <w:t>)</w:t>
      </w:r>
    </w:p>
    <w:p w14:paraId="6FED4EDD" w14:textId="2DAFFEDE" w:rsidR="00323FD0" w:rsidRPr="00177B8C" w:rsidRDefault="00CB5CA8" w:rsidP="00323FD0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r w:rsidRPr="00177B8C">
        <w:rPr>
          <w:rFonts w:ascii="Lato" w:hAnsi="Lato"/>
          <w:b/>
          <w:bCs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01992770" wp14:editId="71351E26">
            <wp:simplePos x="0" y="0"/>
            <wp:positionH relativeFrom="margin">
              <wp:posOffset>4134</wp:posOffset>
            </wp:positionH>
            <wp:positionV relativeFrom="paragraph">
              <wp:posOffset>979661</wp:posOffset>
            </wp:positionV>
            <wp:extent cx="866775" cy="2568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784" b="45847"/>
                    <a:stretch/>
                  </pic:blipFill>
                  <pic:spPr bwMode="auto">
                    <a:xfrm>
                      <a:off x="0" y="0"/>
                      <a:ext cx="866775" cy="2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323FD0" w:rsidRPr="00177B8C">
          <w:rPr>
            <w:rStyle w:val="Hyperlink"/>
            <w:rFonts w:ascii="Lato" w:hAnsi="Lato"/>
            <w:b/>
            <w:sz w:val="20"/>
            <w:szCs w:val="24"/>
          </w:rPr>
          <w:t>School Discipline Practices: A Public Health Crisis and an Opportunity for Reform</w:t>
        </w:r>
      </w:hyperlink>
      <w:r w:rsidR="00323FD0" w:rsidRPr="00177B8C">
        <w:rPr>
          <w:rFonts w:ascii="Lato" w:hAnsi="Lato"/>
          <w:b/>
          <w:sz w:val="20"/>
          <w:szCs w:val="24"/>
        </w:rPr>
        <w:t xml:space="preserve"> </w:t>
      </w:r>
      <w:r w:rsidR="00323FD0" w:rsidRPr="00177B8C">
        <w:rPr>
          <w:rFonts w:ascii="Lato" w:hAnsi="Lato"/>
          <w:sz w:val="20"/>
          <w:szCs w:val="24"/>
        </w:rPr>
        <w:t>(</w:t>
      </w:r>
      <w:r w:rsidR="00323FD0" w:rsidRPr="00177B8C">
        <w:rPr>
          <w:rFonts w:ascii="Lato" w:hAnsi="Lato"/>
          <w:i/>
          <w:sz w:val="20"/>
          <w:szCs w:val="24"/>
        </w:rPr>
        <w:t>ChangeLab Solutions</w:t>
      </w:r>
      <w:r w:rsidR="00323FD0" w:rsidRPr="00177B8C">
        <w:rPr>
          <w:rFonts w:ascii="Lato" w:hAnsi="Lato"/>
          <w:sz w:val="20"/>
          <w:szCs w:val="24"/>
        </w:rPr>
        <w:t>)</w:t>
      </w:r>
      <w:r w:rsidR="00323FD0" w:rsidRPr="00177B8C">
        <w:rPr>
          <w:rFonts w:ascii="Lato" w:hAnsi="Lato"/>
          <w:b/>
          <w:sz w:val="20"/>
          <w:szCs w:val="24"/>
        </w:rPr>
        <w:t xml:space="preserve"> </w:t>
      </w:r>
    </w:p>
    <w:sectPr w:rsidR="00323FD0" w:rsidRPr="00177B8C" w:rsidSect="00177B8C">
      <w:footerReference w:type="default" r:id="rId18"/>
      <w:pgSz w:w="15840" w:h="12240" w:orient="landscape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ABFF" w14:textId="77777777" w:rsidR="00050192" w:rsidRDefault="00050192" w:rsidP="00B14643">
      <w:pPr>
        <w:spacing w:line="240" w:lineRule="auto"/>
      </w:pPr>
      <w:r>
        <w:separator/>
      </w:r>
    </w:p>
  </w:endnote>
  <w:endnote w:type="continuationSeparator" w:id="0">
    <w:p w14:paraId="2BF86D32" w14:textId="77777777" w:rsidR="00050192" w:rsidRDefault="00050192" w:rsidP="00B14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4643" w14:textId="11BAB36C" w:rsidR="00B14643" w:rsidRDefault="00043BF6" w:rsidP="00B14643">
    <w:pPr>
      <w:pStyle w:val="Footer"/>
      <w:jc w:val="right"/>
      <w:rPr>
        <w:rFonts w:ascii="Lato" w:hAnsi="Lato"/>
      </w:rPr>
    </w:pPr>
    <w:r>
      <w:rPr>
        <w:rFonts w:ascii="Lato" w:hAnsi="Lato"/>
      </w:rPr>
      <w:t>March</w:t>
    </w:r>
    <w:r w:rsidR="00261E0C">
      <w:rPr>
        <w:rFonts w:ascii="Lato" w:hAnsi="Lato"/>
      </w:rPr>
      <w:t xml:space="preserve"> </w:t>
    </w:r>
    <w:r w:rsidR="00CB5CA8">
      <w:rPr>
        <w:rFonts w:ascii="Lato" w:hAnsi="Lato"/>
      </w:rPr>
      <w:t>21</w:t>
    </w:r>
    <w:r w:rsidR="00261E0C">
      <w:rPr>
        <w:rFonts w:ascii="Lato" w:hAnsi="Lato"/>
      </w:rPr>
      <w:t>, 202</w:t>
    </w:r>
    <w:r w:rsidR="00CB5CA8">
      <w:rPr>
        <w:rFonts w:ascii="Lato" w:hAnsi="Lat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8DA2" w14:textId="77777777" w:rsidR="00050192" w:rsidRDefault="00050192" w:rsidP="00B14643">
      <w:pPr>
        <w:spacing w:line="240" w:lineRule="auto"/>
      </w:pPr>
      <w:r>
        <w:separator/>
      </w:r>
    </w:p>
  </w:footnote>
  <w:footnote w:type="continuationSeparator" w:id="0">
    <w:p w14:paraId="33A6583D" w14:textId="77777777" w:rsidR="00050192" w:rsidRDefault="00050192" w:rsidP="00B146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F77"/>
    <w:multiLevelType w:val="multilevel"/>
    <w:tmpl w:val="8EC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EE1CCC"/>
    <w:multiLevelType w:val="hybridMultilevel"/>
    <w:tmpl w:val="F3BE5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C2E"/>
    <w:multiLevelType w:val="multilevel"/>
    <w:tmpl w:val="7A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86267">
    <w:abstractNumId w:val="2"/>
  </w:num>
  <w:num w:numId="2" w16cid:durableId="318774177">
    <w:abstractNumId w:val="1"/>
  </w:num>
  <w:num w:numId="3" w16cid:durableId="41131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C"/>
    <w:rsid w:val="00002EA3"/>
    <w:rsid w:val="0002362A"/>
    <w:rsid w:val="00043BF6"/>
    <w:rsid w:val="00050192"/>
    <w:rsid w:val="00065041"/>
    <w:rsid w:val="0006522A"/>
    <w:rsid w:val="000B22D5"/>
    <w:rsid w:val="000E5DDC"/>
    <w:rsid w:val="00151A5B"/>
    <w:rsid w:val="00177B8C"/>
    <w:rsid w:val="00192D5A"/>
    <w:rsid w:val="001F6DAF"/>
    <w:rsid w:val="00215270"/>
    <w:rsid w:val="00261E0C"/>
    <w:rsid w:val="002A1A3A"/>
    <w:rsid w:val="00323FD0"/>
    <w:rsid w:val="003C590E"/>
    <w:rsid w:val="004217D0"/>
    <w:rsid w:val="00465E3A"/>
    <w:rsid w:val="004A2010"/>
    <w:rsid w:val="004A6780"/>
    <w:rsid w:val="004B5B17"/>
    <w:rsid w:val="0051374F"/>
    <w:rsid w:val="00535523"/>
    <w:rsid w:val="005509AD"/>
    <w:rsid w:val="005B19E0"/>
    <w:rsid w:val="005E40A5"/>
    <w:rsid w:val="00601A80"/>
    <w:rsid w:val="00650DDA"/>
    <w:rsid w:val="006651D9"/>
    <w:rsid w:val="006955EC"/>
    <w:rsid w:val="006E0289"/>
    <w:rsid w:val="007210D9"/>
    <w:rsid w:val="00726E8D"/>
    <w:rsid w:val="00772F70"/>
    <w:rsid w:val="007A6423"/>
    <w:rsid w:val="007F09DA"/>
    <w:rsid w:val="007F1DEE"/>
    <w:rsid w:val="008440C3"/>
    <w:rsid w:val="008B3654"/>
    <w:rsid w:val="008F5BB9"/>
    <w:rsid w:val="00917D77"/>
    <w:rsid w:val="00925F8A"/>
    <w:rsid w:val="00940BC9"/>
    <w:rsid w:val="00941F28"/>
    <w:rsid w:val="0094493C"/>
    <w:rsid w:val="00996AB3"/>
    <w:rsid w:val="009C0EC5"/>
    <w:rsid w:val="009C7EE2"/>
    <w:rsid w:val="009D7090"/>
    <w:rsid w:val="00A061C0"/>
    <w:rsid w:val="00A221B5"/>
    <w:rsid w:val="00A77B2F"/>
    <w:rsid w:val="00AC66A1"/>
    <w:rsid w:val="00AE59B9"/>
    <w:rsid w:val="00AF27D0"/>
    <w:rsid w:val="00B030C6"/>
    <w:rsid w:val="00B14643"/>
    <w:rsid w:val="00BB2DA5"/>
    <w:rsid w:val="00BC3E9A"/>
    <w:rsid w:val="00BE3D23"/>
    <w:rsid w:val="00C11E64"/>
    <w:rsid w:val="00C34660"/>
    <w:rsid w:val="00C669AD"/>
    <w:rsid w:val="00C94EB9"/>
    <w:rsid w:val="00CA6412"/>
    <w:rsid w:val="00CB5CA8"/>
    <w:rsid w:val="00D074CE"/>
    <w:rsid w:val="00D57545"/>
    <w:rsid w:val="00D95FAD"/>
    <w:rsid w:val="00DB2284"/>
    <w:rsid w:val="00DE67D6"/>
    <w:rsid w:val="00E158A6"/>
    <w:rsid w:val="00E773B7"/>
    <w:rsid w:val="00ED71EF"/>
    <w:rsid w:val="00EE3F50"/>
    <w:rsid w:val="00EE585F"/>
    <w:rsid w:val="00F7740D"/>
    <w:rsid w:val="00F84648"/>
    <w:rsid w:val="00F91001"/>
    <w:rsid w:val="00FB198E"/>
    <w:rsid w:val="00FC0BC9"/>
    <w:rsid w:val="00FE2755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0416"/>
  <w15:docId w15:val="{7936BA12-EC6C-4C69-9584-48EA7461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5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5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D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6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43"/>
  </w:style>
  <w:style w:type="paragraph" w:styleId="Footer">
    <w:name w:val="footer"/>
    <w:basedOn w:val="Normal"/>
    <w:link w:val="FooterChar"/>
    <w:uiPriority w:val="99"/>
    <w:unhideWhenUsed/>
    <w:rsid w:val="00B146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43"/>
  </w:style>
  <w:style w:type="paragraph" w:styleId="ListParagraph">
    <w:name w:val="List Paragraph"/>
    <w:basedOn w:val="Normal"/>
    <w:uiPriority w:val="34"/>
    <w:qFormat/>
    <w:rsid w:val="00323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8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1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ng.org/stop-smoking/helping-teens-quit/indepth.html" TargetMode="External"/><Relationship Id="rId13" Type="http://schemas.openxmlformats.org/officeDocument/2006/relationships/hyperlink" Target="https://wasb.org/wp-content/uploads/2024/04/WASB_2024-May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.stanford.edu/tobaccopreventiontoolkit/healthy-futures-nicotine.html" TargetMode="External"/><Relationship Id="rId17" Type="http://schemas.openxmlformats.org/officeDocument/2006/relationships/hyperlink" Target="https://www.changelabsolutions.org/sites/default/files/SchoolDisciplineAndPublicHealth-IssueBrief-FINAL-20190128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rdmil.com/courses-for-second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tobacco/basic_information/e-cigarettes/pdfs/supporting-schools-to-quit-tobacco-use-as-an-alternative-to-suspension.pdf" TargetMode="External"/><Relationship Id="rId10" Type="http://schemas.openxmlformats.org/officeDocument/2006/relationships/hyperlink" Target="https://med.stanford.edu/tobaccopreventiontoolkit/healthy-futures-nicotin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ung.app.box.com/v/INDEPTHONLINE-Promo" TargetMode="External"/><Relationship Id="rId14" Type="http://schemas.openxmlformats.org/officeDocument/2006/relationships/hyperlink" Target="https://www2.heart.org/site/DocServer/Tobacco-Free_School_District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547F-2457-48C4-956D-FB5536CD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Wadzinski</dc:creator>
  <cp:lastModifiedBy>Witkowski, Luke P - DHS</cp:lastModifiedBy>
  <cp:revision>2</cp:revision>
  <cp:lastPrinted>2019-09-18T20:28:00Z</cp:lastPrinted>
  <dcterms:created xsi:type="dcterms:W3CDTF">2025-03-21T19:22:00Z</dcterms:created>
  <dcterms:modified xsi:type="dcterms:W3CDTF">2025-03-21T19:22:00Z</dcterms:modified>
</cp:coreProperties>
</file>